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tbl>
      <w:tblPr>
        <w:tblW w:w="9072" w:type="dxa"/>
        <w:tblLayout w:type="fixed"/>
        <w:tblBorders>
          <w:top w:val="none"/>
          <w:left w:val="none"/>
          <w:bottom w:val="none"/>
          <w:right w:val="none"/>
          <w:insideH w:val="none"/>
          <w:insideV w:val="none"/>
        </w:tblBorders>
        <w:tblCellMar>
          <w:top w:w="0" w:type="dxa"/>
          <w:bottom w:w="0" w:type="dxa"/>
          <w:left w:w="0" w:type="dxa"/>
          <w:right w:w="0" w:type="dxa"/>
        </w:tblCellMar>
      </w:tblPr>
      <w:tblGrid>
        <w:gridCol w:w="3969"/>
        <w:gridCol w:w="5103"/>
      </w:tblGrid>
      <w:tr>
        <w:tc>
          <w:tcPr>
            <w:tcW w:w="3969" w:type="dxa"/>
          </w:tcPr>
          <w:p>
            <w:pPr>
              <w:spacing w:before="0" w:after="40" w:line="257" w:lineRule="auto"/>
              <w:jc w:val="center"/>
            </w:pPr>
            <w:r>
              <w:rPr>
                <w:rFonts w:ascii="Times New Roman" w:hAnsi="Times New Roman" w:cs="Times New Roman"/>
                <w:b/>
                <w:bCs/>
                <w:color w:val="000000"/>
                <w:sz w:val="22"/>
                <w:szCs w:val="22"/>
              </w:rPr>
              <w:t xml:space="preserve">CÔNG TY TNHH VERATAX</w:t>
            </w:r>
          </w:p>
        </w:tc>
        <w:tc>
          <w:tcPr>
            <w:tcW w:w="5103" w:type="dxa"/>
          </w:tcPr>
          <w:p>
            <w:pPr>
              <w:spacing w:before="0" w:after="20" w:line="257" w:lineRule="auto"/>
              <w:jc w:val="center"/>
            </w:pPr>
            <w:r>
              <w:rPr>
                <w:rFonts w:ascii="Times New Roman" w:hAnsi="Times New Roman" w:cs="Times New Roman"/>
                <w:b/>
                <w:bCs/>
                <w:color w:val="000000"/>
                <w:sz w:val="22"/>
                <w:szCs w:val="22"/>
              </w:rPr>
              <w:t xml:space="preserve">CỘNG HÒA XÃ HỘI CHỦ NGHĨA VIỆT NAM</w:t>
            </w:r>
            <w:r>
              <w:rPr>
                <w:rFonts w:ascii="Times New Roman" w:hAnsi="Times New Roman" w:cs="Times New Roman"/>
                <w:color w:val="000000"/>
                <w:sz w:val="22"/>
                <w:szCs w:val="22"/>
              </w:rPr>
              <w:br/>
            </w:r>
            <w:r>
              <w:rPr>
                <w:rFonts w:ascii="Times New Roman" w:hAnsi="Times New Roman" w:cs="Times New Roman"/>
                <w:color w:val="000000"/>
                <w:sz w:val="22"/>
                <w:szCs w:val="22"/>
              </w:rPr>
              <w:t xml:space="preserve">Độc lập - Tự do - Hạnh phúc</w:t>
            </w:r>
          </w:p>
          <w:p>
            <w:pPr>
              <w:spacing w:before="0" w:after="40" w:line="257" w:lineRule="auto"/>
              <w:jc w:val="right"/>
            </w:pPr>
            <w:r>
              <w:rPr>
                <w:rFonts w:ascii="Times New Roman" w:hAnsi="Times New Roman" w:cs="Times New Roman"/>
                <w:i/>
                <w:iCs/>
                <w:color w:val="000000"/>
                <w:sz w:val="20"/>
                <w:szCs w:val="20"/>
              </w:rPr>
              <w:t xml:space="preserve">Mẫu số: 24/ĐK-TCT-GT</w:t>
            </w:r>
          </w:p>
        </w:tc>
      </w:tr>
    </w:tbl>
    <w:p>
      <w:pPr>
        <w:keepNext/>
        <w:spacing w:before="100" w:after="20" w:line="257" w:lineRule="auto"/>
        <w:jc w:val="center"/>
      </w:pPr>
      <w:r>
        <w:rPr>
          <w:rFonts w:ascii="Times New Roman" w:hAnsi="Times New Roman" w:cs="Times New Roman"/>
          <w:b/>
          <w:bCs/>
          <w:color w:val="000000"/>
          <w:sz w:val="32"/>
          <w:szCs w:val="32"/>
        </w:rPr>
        <w:t xml:space="preserve">QUYẾT ĐỊNH GIẢI THỂ DOANH NGHIỆP &amp; CHẤM DỨT MÃ SỐ THUẾ</w:t>
      </w:r>
    </w:p>
    <w:p>
      <w:pPr>
        <w:keepNext/>
        <w:spacing w:before="0" w:after="80" w:line="257" w:lineRule="auto"/>
        <w:jc w:val="center"/>
      </w:pPr>
      <w:r>
        <w:rPr>
          <w:rFonts w:ascii="Times New Roman" w:hAnsi="Times New Roman" w:cs="Times New Roman"/>
          <w:i/>
          <w:iCs/>
          <w:color w:val="000000"/>
          <w:sz w:val="22"/>
          <w:szCs w:val="22"/>
        </w:rPr>
        <w:t xml:space="preserve">(Căn cứ Điều 207, Điều 208 Luật Doanh nghiệp và Điều 39 Luật Quản lý thuế)</w:t>
      </w:r>
    </w:p>
    <w:p>
      <w:pPr>
        <w:keepNext/>
        <w:spacing w:before="40" w:after="30" w:line="257" w:lineRule="auto"/>
        <w:jc w:val="left"/>
      </w:pPr>
      <w:r>
        <w:rPr>
          <w:rFonts w:ascii="Times New Roman" w:hAnsi="Times New Roman" w:cs="Times New Roman"/>
          <w:b/>
          <w:bCs/>
          <w:color w:val="000000"/>
          <w:sz w:val="24"/>
          <w:szCs w:val="24"/>
        </w:rPr>
        <w:t xml:space="preserve">Điều 1. Thông qua việc giải thể và chấm dứt hoạt động của doanh nghiệp:</w:t>
      </w:r>
    </w:p>
    <w:p>
      <w:pPr>
        <w:tabs>
          <w:tab w:val="right" w:leader="dot" w:pos="9072"/>
        </w:tabs>
        <w:spacing w:before="0" w:after="35" w:line="257" w:lineRule="auto"/>
        <w:jc w:val="left"/>
      </w:pPr>
      <w:r>
        <w:rPr>
          <w:rFonts w:ascii="Times New Roman" w:hAnsi="Times New Roman" w:cs="Times New Roman"/>
          <w:b/>
          <w:bCs/>
          <w:color w:val="000000"/>
          <w:sz w:val="24"/>
          <w:szCs w:val="24"/>
        </w:rPr>
        <w:t xml:space="preserve">Tên doanh nghiệp: </w:t>
      </w:r>
      <w:r>
        <w:rPr>
          <w:rFonts w:ascii="Times New Roman" w:hAnsi="Times New Roman" w:cs="Times New Roman"/>
          <w:color w:val="000000"/>
          <w:sz w:val="24"/>
          <w:szCs w:val="24"/>
        </w:rPr>
        <w:tab/>
      </w:r>
    </w:p>
    <w:p>
      <w:pPr>
        <w:tabs>
          <w:tab w:val="left" w:leader="dot" w:pos="4802"/>
          <w:tab w:val="right" w:leader="dot" w:pos="9072"/>
        </w:tabs>
        <w:spacing w:before="0" w:after="35" w:line="257" w:lineRule="auto"/>
        <w:jc w:val="left"/>
      </w:pPr>
      <w:r>
        <w:rPr>
          <w:rFonts w:ascii="Times New Roman" w:hAnsi="Times New Roman" w:cs="Times New Roman"/>
          <w:color w:val="000000"/>
          <w:sz w:val="24"/>
          <w:szCs w:val="24"/>
        </w:rPr>
        <w:t xml:space="preserve">Mã số doanh nghiệp / MST: </w:t>
      </w:r>
      <w:r>
        <w:rPr>
          <w:rFonts w:ascii="Times New Roman" w:hAnsi="Times New Roman" w:cs="Times New Roman"/>
          <w:color w:val="000000"/>
          <w:sz w:val="24"/>
          <w:szCs w:val="24"/>
        </w:rPr>
        <w:tab/>
      </w:r>
      <w:r>
        <w:rPr>
          <w:rFonts w:ascii="Times New Roman" w:hAnsi="Times New Roman" w:cs="Times New Roman"/>
          <w:color w:val="000000"/>
          <w:sz w:val="24"/>
          <w:szCs w:val="24"/>
        </w:rPr>
        <w:t xml:space="preserve">  Ngày cấp GCN ĐKDN: </w:t>
      </w:r>
      <w:r>
        <w:rPr>
          <w:rFonts w:ascii="Times New Roman" w:hAnsi="Times New Roman" w:cs="Times New Roman"/>
          <w:color w:val="000000"/>
          <w:sz w:val="24"/>
          <w:szCs w:val="24"/>
        </w:rPr>
        <w:tab/>
      </w:r>
    </w:p>
    <w:p>
      <w:pPr>
        <w:tabs>
          <w:tab w:val="right" w:leader="dot" w:pos="9072"/>
        </w:tabs>
        <w:spacing w:before="0" w:after="35" w:line="257" w:lineRule="auto"/>
        <w:jc w:val="left"/>
      </w:pPr>
      <w:r>
        <w:rPr>
          <w:rFonts w:ascii="Times New Roman" w:hAnsi="Times New Roman" w:cs="Times New Roman"/>
          <w:color w:val="000000"/>
          <w:sz w:val="24"/>
          <w:szCs w:val="24"/>
        </w:rPr>
        <w:t xml:space="preserve">Địa chỉ trụ sở chính: </w:t>
      </w:r>
      <w:r>
        <w:rPr>
          <w:rFonts w:ascii="Times New Roman" w:hAnsi="Times New Roman" w:cs="Times New Roman"/>
          <w:color w:val="000000"/>
          <w:sz w:val="24"/>
          <w:szCs w:val="24"/>
        </w:rPr>
        <w:tab/>
      </w:r>
    </w:p>
    <w:p>
      <w:pPr>
        <w:tabs>
          <w:tab w:val="right" w:leader="dot" w:pos="9072"/>
        </w:tabs>
        <w:spacing w:before="0" w:after="35" w:line="257" w:lineRule="auto"/>
        <w:jc w:val="left"/>
      </w:pPr>
      <w:r>
        <w:rPr>
          <w:rFonts w:ascii="Times New Roman" w:hAnsi="Times New Roman" w:cs="Times New Roman"/>
          <w:color w:val="000000"/>
          <w:sz w:val="24"/>
          <w:szCs w:val="24"/>
        </w:rPr>
        <w:t xml:space="preserve">Lý do giải thể: </w:t>
      </w:r>
      <w:r>
        <w:rPr>
          <w:rFonts w:ascii="Times New Roman" w:hAnsi="Times New Roman" w:cs="Times New Roman"/>
          <w:color w:val="000000"/>
          <w:sz w:val="24"/>
          <w:szCs w:val="24"/>
        </w:rPr>
        <w:t xml:space="preserve">Chấm dứt hoạt động kinh doanh theo quyết định của Chủ sở hữu / HĐTV</w:t>
      </w:r>
      <w:r>
        <w:rPr>
          <w:rFonts w:ascii="Times New Roman" w:hAnsi="Times New Roman" w:cs="Times New Roman"/>
          <w:color w:val="000000"/>
          <w:sz w:val="24"/>
          <w:szCs w:val="24"/>
        </w:rPr>
        <w:tab/>
      </w:r>
    </w:p>
    <w:p>
      <w:pPr>
        <w:keepNext/>
        <w:spacing w:before="50" w:after="30" w:line="257" w:lineRule="auto"/>
        <w:jc w:val="left"/>
      </w:pPr>
      <w:r>
        <w:rPr>
          <w:rFonts w:ascii="Times New Roman" w:hAnsi="Times New Roman" w:cs="Times New Roman"/>
          <w:b/>
          <w:bCs/>
          <w:color w:val="000000"/>
          <w:sz w:val="24"/>
          <w:szCs w:val="24"/>
        </w:rPr>
        <w:t xml:space="preserve">Điều 2. Phương án thanh lý tài sản và thứ tự ưu tiên thanh toán nợ (Điều 208 Luật Doanh nghiệp):</w:t>
      </w:r>
    </w:p>
    <w:tbl>
      <w:tblPr>
        <w:tblW w:w="9072" w:type="dxa"/>
        <w:tblLayout w:type="fixed"/>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Grid>
        <w:gridCol w:w="1050"/>
        <w:gridCol w:w="3522"/>
        <w:gridCol w:w="1500"/>
        <w:gridCol w:w="1500"/>
        <w:gridCol w:w="1500"/>
      </w:tblGrid>
      <w:tr>
        <w:trPr>
          <w:cantSplit/>
          <w:tblHeader/>
        </w:trPr>
        <w:tc>
          <w:tcPr>
            <w:tcW w:w="1050" w:type="dxa"/>
            <w:vAlign w:val="center"/>
            <w:tcMar>
              <w:top w:w="60" w:type="dxa"/>
              <w:bottom w:w="60" w:type="dxa"/>
              <w:left w:w="80" w:type="dxa"/>
              <w:right w:w="80" w:type="dxa"/>
            </w:tcMar>
          </w:tcPr>
          <w:p>
            <w:pPr>
              <w:spacing w:before="0" w:after="0" w:line="257" w:lineRule="auto"/>
              <w:jc w:val="center"/>
            </w:pPr>
            <w:r>
              <w:rPr>
                <w:rFonts w:ascii="Times New Roman" w:hAnsi="Times New Roman" w:cs="Times New Roman"/>
                <w:b/>
                <w:bCs/>
                <w:color w:val="000000"/>
                <w:sz w:val="22"/>
                <w:szCs w:val="22"/>
              </w:rPr>
              <w:t xml:space="preserve">Thứ tự</w:t>
            </w:r>
          </w:p>
        </w:tc>
        <w:tc>
          <w:tcPr>
            <w:tcW w:w="3522" w:type="dxa"/>
            <w:vAlign w:val="center"/>
            <w:tcMar>
              <w:top w:w="60" w:type="dxa"/>
              <w:bottom w:w="60" w:type="dxa"/>
              <w:left w:w="80" w:type="dxa"/>
              <w:right w:w="80" w:type="dxa"/>
            </w:tcMar>
          </w:tcPr>
          <w:p>
            <w:pPr>
              <w:spacing w:before="0" w:after="0" w:line="257" w:lineRule="auto"/>
              <w:jc w:val="center"/>
            </w:pPr>
            <w:r>
              <w:rPr>
                <w:rFonts w:ascii="Times New Roman" w:hAnsi="Times New Roman" w:cs="Times New Roman"/>
                <w:b/>
                <w:bCs/>
                <w:color w:val="000000"/>
                <w:sz w:val="22"/>
                <w:szCs w:val="22"/>
              </w:rPr>
              <w:t xml:space="preserve">Nhóm nghĩa vụ nợ phải thanh toán khi giải thể</w:t>
            </w:r>
          </w:p>
        </w:tc>
        <w:tc>
          <w:tcPr>
            <w:tcW w:w="1500" w:type="dxa"/>
            <w:vAlign w:val="center"/>
            <w:tcMar>
              <w:top w:w="60" w:type="dxa"/>
              <w:bottom w:w="60" w:type="dxa"/>
              <w:left w:w="80" w:type="dxa"/>
              <w:right w:w="80" w:type="dxa"/>
            </w:tcMar>
          </w:tcPr>
          <w:p>
            <w:pPr>
              <w:spacing w:before="0" w:after="0" w:line="257" w:lineRule="auto"/>
              <w:jc w:val="center"/>
            </w:pPr>
            <w:r>
              <w:rPr>
                <w:rFonts w:ascii="Times New Roman" w:hAnsi="Times New Roman" w:cs="Times New Roman"/>
                <w:b/>
                <w:bCs/>
                <w:color w:val="000000"/>
                <w:sz w:val="22"/>
                <w:szCs w:val="22"/>
              </w:rPr>
              <w:t xml:space="preserve">Số dư tại ngày QĐ</w:t>
            </w:r>
          </w:p>
        </w:tc>
        <w:tc>
          <w:tcPr>
            <w:tcW w:w="1500" w:type="dxa"/>
            <w:vAlign w:val="center"/>
            <w:tcMar>
              <w:top w:w="60" w:type="dxa"/>
              <w:bottom w:w="60" w:type="dxa"/>
              <w:left w:w="80" w:type="dxa"/>
              <w:right w:w="80" w:type="dxa"/>
            </w:tcMar>
          </w:tcPr>
          <w:p>
            <w:pPr>
              <w:spacing w:before="0" w:after="0" w:line="257" w:lineRule="auto"/>
              <w:jc w:val="center"/>
            </w:pPr>
            <w:r>
              <w:rPr>
                <w:rFonts w:ascii="Times New Roman" w:hAnsi="Times New Roman" w:cs="Times New Roman"/>
                <w:b/>
                <w:bCs/>
                <w:color w:val="000000"/>
                <w:sz w:val="22"/>
                <w:szCs w:val="22"/>
              </w:rPr>
              <w:t xml:space="preserve">Thời hạn xử lý</w:t>
            </w:r>
          </w:p>
        </w:tc>
        <w:tc>
          <w:tcPr>
            <w:tcW w:w="1500" w:type="dxa"/>
            <w:vAlign w:val="center"/>
            <w:tcMar>
              <w:top w:w="60" w:type="dxa"/>
              <w:bottom w:w="60" w:type="dxa"/>
              <w:left w:w="80" w:type="dxa"/>
              <w:right w:w="80" w:type="dxa"/>
            </w:tcMar>
          </w:tcPr>
          <w:p>
            <w:pPr>
              <w:spacing w:before="0" w:after="0" w:line="257" w:lineRule="auto"/>
              <w:jc w:val="center"/>
            </w:pPr>
            <w:r>
              <w:rPr>
                <w:rFonts w:ascii="Times New Roman" w:hAnsi="Times New Roman" w:cs="Times New Roman"/>
                <w:b/>
                <w:bCs/>
                <w:color w:val="000000"/>
                <w:sz w:val="22"/>
                <w:szCs w:val="22"/>
              </w:rPr>
              <w:t xml:space="preserve">Trạng thái</w:t>
            </w:r>
          </w:p>
        </w:tc>
      </w:tr>
      <w:tr>
        <w:trPr>
          <w:cantSplit/>
        </w:trPr>
        <w:tc>
          <w:tcPr>
            <w:tcW w:w="1050" w:type="dxa"/>
            <w:vAlign w:val="center"/>
            <w:tcMar>
              <w:top w:w="55" w:type="dxa"/>
              <w:bottom w:w="55" w:type="dxa"/>
              <w:left w:w="80" w:type="dxa"/>
              <w:right w:w="80" w:type="dxa"/>
            </w:tcMar>
          </w:tcPr>
          <w:p>
            <w:pPr>
              <w:spacing w:before="0" w:after="0" w:line="257" w:lineRule="auto"/>
              <w:jc w:val="center"/>
            </w:pPr>
            <w:r>
              <w:rPr>
                <w:rFonts w:ascii="Times New Roman" w:hAnsi="Times New Roman" w:cs="Times New Roman"/>
                <w:color w:val="000000"/>
                <w:sz w:val="22"/>
                <w:szCs w:val="22"/>
              </w:rPr>
              <w:t xml:space="preserve">Ưu tiên 1</w:t>
            </w:r>
          </w:p>
        </w:tc>
        <w:tc>
          <w:tcPr>
            <w:tcW w:w="3522"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Nợ lương, trợ cấp thôi việc, BHXH, BHYT, BHTN của NLĐ</w:t>
            </w:r>
          </w:p>
        </w:tc>
        <w:tc>
          <w:tcPr>
            <w:tcW w:w="150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0 đồng</w:t>
            </w:r>
          </w:p>
        </w:tc>
        <w:tc>
          <w:tcPr>
            <w:tcW w:w="150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Trong 30 ngày</w:t>
            </w:r>
          </w:p>
        </w:tc>
        <w:tc>
          <w:tcPr>
            <w:tcW w:w="150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   ] Đã chốt sổ</w:t>
            </w:r>
          </w:p>
        </w:tc>
      </w:tr>
      <w:tr>
        <w:trPr>
          <w:cantSplit/>
        </w:trPr>
        <w:tc>
          <w:tcPr>
            <w:tcW w:w="1050" w:type="dxa"/>
            <w:vAlign w:val="center"/>
            <w:tcMar>
              <w:top w:w="55" w:type="dxa"/>
              <w:bottom w:w="55" w:type="dxa"/>
              <w:left w:w="80" w:type="dxa"/>
              <w:right w:w="80" w:type="dxa"/>
            </w:tcMar>
          </w:tcPr>
          <w:p>
            <w:pPr>
              <w:spacing w:before="0" w:after="0" w:line="257" w:lineRule="auto"/>
              <w:jc w:val="center"/>
            </w:pPr>
            <w:r>
              <w:rPr>
                <w:rFonts w:ascii="Times New Roman" w:hAnsi="Times New Roman" w:cs="Times New Roman"/>
                <w:color w:val="000000"/>
                <w:sz w:val="22"/>
                <w:szCs w:val="22"/>
              </w:rPr>
              <w:t xml:space="preserve">Ưu tiên 2</w:t>
            </w:r>
          </w:p>
        </w:tc>
        <w:tc>
          <w:tcPr>
            <w:tcW w:w="3522"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Nợ thuế GTGT, TNDN, TNCN và nghĩa vụ Ngân sách Nhà nước</w:t>
            </w:r>
          </w:p>
        </w:tc>
        <w:tc>
          <w:tcPr>
            <w:tcW w:w="150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0 đồng</w:t>
            </w:r>
          </w:p>
        </w:tc>
        <w:tc>
          <w:tcPr>
            <w:tcW w:w="150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Trước khóa MST</w:t>
            </w:r>
          </w:p>
        </w:tc>
        <w:tc>
          <w:tcPr>
            <w:tcW w:w="150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   ] Đã hoàn tất</w:t>
            </w:r>
          </w:p>
        </w:tc>
      </w:tr>
      <w:tr>
        <w:trPr>
          <w:cantSplit/>
        </w:trPr>
        <w:tc>
          <w:tcPr>
            <w:tcW w:w="1050" w:type="dxa"/>
            <w:vAlign w:val="center"/>
            <w:tcMar>
              <w:top w:w="55" w:type="dxa"/>
              <w:bottom w:w="55" w:type="dxa"/>
              <w:left w:w="80" w:type="dxa"/>
              <w:right w:w="80" w:type="dxa"/>
            </w:tcMar>
          </w:tcPr>
          <w:p>
            <w:pPr>
              <w:spacing w:before="0" w:after="0" w:line="257" w:lineRule="auto"/>
              <w:jc w:val="center"/>
            </w:pPr>
            <w:r>
              <w:rPr>
                <w:rFonts w:ascii="Times New Roman" w:hAnsi="Times New Roman" w:cs="Times New Roman"/>
                <w:color w:val="000000"/>
                <w:sz w:val="22"/>
                <w:szCs w:val="22"/>
              </w:rPr>
              <w:t xml:space="preserve">Ưu tiên 3</w:t>
            </w:r>
          </w:p>
        </w:tc>
        <w:tc>
          <w:tcPr>
            <w:tcW w:w="3522"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Các khoản nợ nhà cung cấp, tổ chức tín dụng và đối tác</w:t>
            </w:r>
          </w:p>
        </w:tc>
        <w:tc>
          <w:tcPr>
            <w:tcW w:w="150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0 đồng</w:t>
            </w:r>
          </w:p>
        </w:tc>
        <w:tc>
          <w:tcPr>
            <w:tcW w:w="150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Tối đa 06 tháng</w:t>
            </w:r>
          </w:p>
        </w:tc>
        <w:tc>
          <w:tcPr>
            <w:tcW w:w="150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   ] Đã tất toán</w:t>
            </w:r>
          </w:p>
        </w:tc>
      </w:tr>
    </w:tbl>
    <w:p>
      <w:pPr>
        <w:spacing w:before="0" w:after="30" w:line="257" w:lineRule="auto"/>
        <w:jc w:val="left"/>
      </w:pPr>
      <w:r>
        <w:rPr>
          <w:rFonts w:ascii="Times New Roman" w:hAnsi="Times New Roman" w:cs="Times New Roman"/>
          <w:color w:val="000000"/>
          <w:sz w:val="20"/>
          <w:szCs w:val="20"/>
        </w:rPr>
        <w:t xml:space="preserve"/>
      </w:r>
    </w:p>
    <w:p>
      <w:pPr>
        <w:keepNext/>
        <w:spacing w:before="50" w:after="30" w:line="257" w:lineRule="auto"/>
        <w:jc w:val="left"/>
      </w:pPr>
      <w:r>
        <w:rPr>
          <w:rFonts w:ascii="Times New Roman" w:hAnsi="Times New Roman" w:cs="Times New Roman"/>
          <w:b/>
          <w:bCs/>
          <w:color w:val="000000"/>
          <w:sz w:val="24"/>
          <w:szCs w:val="24"/>
        </w:rPr>
        <w:t xml:space="preserve">Điều 3. Lộ trình thực hiện thủ tục chấm dứt hiệu lực Mã số thuế (Mẫu 24/ĐK-TCT) &amp; xóa tên DN:</w:t>
      </w:r>
    </w:p>
    <w:tbl>
      <w:tblPr>
        <w:tblW w:w="9072" w:type="dxa"/>
        <w:tblLayout w:type="fixed"/>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Grid>
        <w:gridCol w:w="950"/>
        <w:gridCol w:w="2300"/>
        <w:gridCol w:w="4122"/>
        <w:gridCol w:w="1700"/>
      </w:tblGrid>
      <w:tr>
        <w:trPr>
          <w:cantSplit/>
          <w:tblHeader/>
        </w:trPr>
        <w:tc>
          <w:tcPr>
            <w:tcW w:w="950" w:type="dxa"/>
            <w:vAlign w:val="center"/>
            <w:tcMar>
              <w:top w:w="60" w:type="dxa"/>
              <w:bottom w:w="60" w:type="dxa"/>
              <w:left w:w="80" w:type="dxa"/>
              <w:right w:w="80" w:type="dxa"/>
            </w:tcMar>
          </w:tcPr>
          <w:p>
            <w:pPr>
              <w:spacing w:before="0" w:after="0" w:line="257" w:lineRule="auto"/>
              <w:jc w:val="center"/>
            </w:pPr>
            <w:r>
              <w:rPr>
                <w:rFonts w:ascii="Times New Roman" w:hAnsi="Times New Roman" w:cs="Times New Roman"/>
                <w:b/>
                <w:bCs/>
                <w:color w:val="000000"/>
                <w:sz w:val="22"/>
                <w:szCs w:val="22"/>
              </w:rPr>
              <w:t xml:space="preserve">Bước</w:t>
            </w:r>
          </w:p>
        </w:tc>
        <w:tc>
          <w:tcPr>
            <w:tcW w:w="2300" w:type="dxa"/>
            <w:vAlign w:val="center"/>
            <w:tcMar>
              <w:top w:w="60" w:type="dxa"/>
              <w:bottom w:w="60" w:type="dxa"/>
              <w:left w:w="80" w:type="dxa"/>
              <w:right w:w="80" w:type="dxa"/>
            </w:tcMar>
          </w:tcPr>
          <w:p>
            <w:pPr>
              <w:spacing w:before="0" w:after="0" w:line="257" w:lineRule="auto"/>
              <w:jc w:val="center"/>
            </w:pPr>
            <w:r>
              <w:rPr>
                <w:rFonts w:ascii="Times New Roman" w:hAnsi="Times New Roman" w:cs="Times New Roman"/>
                <w:b/>
                <w:bCs/>
                <w:color w:val="000000"/>
                <w:sz w:val="22"/>
                <w:szCs w:val="22"/>
              </w:rPr>
              <w:t xml:space="preserve">Cơ quan tiếp nhận</w:t>
            </w:r>
          </w:p>
        </w:tc>
        <w:tc>
          <w:tcPr>
            <w:tcW w:w="4122" w:type="dxa"/>
            <w:vAlign w:val="center"/>
            <w:tcMar>
              <w:top w:w="60" w:type="dxa"/>
              <w:bottom w:w="60" w:type="dxa"/>
              <w:left w:w="80" w:type="dxa"/>
              <w:right w:w="80" w:type="dxa"/>
            </w:tcMar>
          </w:tcPr>
          <w:p>
            <w:pPr>
              <w:spacing w:before="0" w:after="0" w:line="257" w:lineRule="auto"/>
              <w:jc w:val="center"/>
            </w:pPr>
            <w:r>
              <w:rPr>
                <w:rFonts w:ascii="Times New Roman" w:hAnsi="Times New Roman" w:cs="Times New Roman"/>
                <w:b/>
                <w:bCs/>
                <w:color w:val="000000"/>
                <w:sz w:val="22"/>
                <w:szCs w:val="22"/>
              </w:rPr>
              <w:t xml:space="preserve">Hồ sơ pháp lý bắt buộc thực hiện</w:t>
            </w:r>
          </w:p>
        </w:tc>
        <w:tc>
          <w:tcPr>
            <w:tcW w:w="1700" w:type="dxa"/>
            <w:vAlign w:val="center"/>
            <w:tcMar>
              <w:top w:w="60" w:type="dxa"/>
              <w:bottom w:w="60" w:type="dxa"/>
              <w:left w:w="80" w:type="dxa"/>
              <w:right w:w="80" w:type="dxa"/>
            </w:tcMar>
          </w:tcPr>
          <w:p>
            <w:pPr>
              <w:spacing w:before="0" w:after="0" w:line="257" w:lineRule="auto"/>
              <w:jc w:val="center"/>
            </w:pPr>
            <w:r>
              <w:rPr>
                <w:rFonts w:ascii="Times New Roman" w:hAnsi="Times New Roman" w:cs="Times New Roman"/>
                <w:b/>
                <w:bCs/>
                <w:color w:val="000000"/>
                <w:sz w:val="22"/>
                <w:szCs w:val="22"/>
              </w:rPr>
              <w:t xml:space="preserve">Đơn vị phụ trách</w:t>
            </w:r>
          </w:p>
        </w:tc>
      </w:tr>
      <w:tr>
        <w:trPr>
          <w:cantSplit/>
        </w:trPr>
        <w:tc>
          <w:tcPr>
            <w:tcW w:w="950" w:type="dxa"/>
            <w:vAlign w:val="center"/>
            <w:tcMar>
              <w:top w:w="55" w:type="dxa"/>
              <w:bottom w:w="55" w:type="dxa"/>
              <w:left w:w="80" w:type="dxa"/>
              <w:right w:w="80" w:type="dxa"/>
            </w:tcMar>
          </w:tcPr>
          <w:p>
            <w:pPr>
              <w:spacing w:before="0" w:after="0" w:line="257" w:lineRule="auto"/>
              <w:jc w:val="center"/>
            </w:pPr>
            <w:r>
              <w:rPr>
                <w:rFonts w:ascii="Times New Roman" w:hAnsi="Times New Roman" w:cs="Times New Roman"/>
                <w:color w:val="000000"/>
                <w:sz w:val="22"/>
                <w:szCs w:val="22"/>
              </w:rPr>
              <w:t xml:space="preserve">Bước 1</w:t>
            </w:r>
          </w:p>
        </w:tc>
        <w:tc>
          <w:tcPr>
            <w:tcW w:w="230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Hải quan &amp; BHXH</w:t>
            </w:r>
          </w:p>
        </w:tc>
        <w:tc>
          <w:tcPr>
            <w:tcW w:w="4122"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Xác nhận không nợ thuế XNK; báo giảm LĐ và chốt sổ BHXH</w:t>
            </w:r>
          </w:p>
        </w:tc>
        <w:tc>
          <w:tcPr>
            <w:tcW w:w="170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Veratax / Doanh nghiệp</w:t>
            </w:r>
          </w:p>
        </w:tc>
      </w:tr>
      <w:tr>
        <w:trPr>
          <w:cantSplit/>
        </w:trPr>
        <w:tc>
          <w:tcPr>
            <w:tcW w:w="950" w:type="dxa"/>
            <w:vAlign w:val="center"/>
            <w:tcMar>
              <w:top w:w="55" w:type="dxa"/>
              <w:bottom w:w="55" w:type="dxa"/>
              <w:left w:w="80" w:type="dxa"/>
              <w:right w:w="80" w:type="dxa"/>
            </w:tcMar>
          </w:tcPr>
          <w:p>
            <w:pPr>
              <w:spacing w:before="0" w:after="0" w:line="257" w:lineRule="auto"/>
              <w:jc w:val="center"/>
            </w:pPr>
            <w:r>
              <w:rPr>
                <w:rFonts w:ascii="Times New Roman" w:hAnsi="Times New Roman" w:cs="Times New Roman"/>
                <w:color w:val="000000"/>
                <w:sz w:val="22"/>
                <w:szCs w:val="22"/>
              </w:rPr>
              <w:t xml:space="preserve">Bước 2</w:t>
            </w:r>
          </w:p>
        </w:tc>
        <w:tc>
          <w:tcPr>
            <w:tcW w:w="230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Cơ quan Thuế</w:t>
            </w:r>
          </w:p>
        </w:tc>
        <w:tc>
          <w:tcPr>
            <w:tcW w:w="4122"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Nộp Mẫu 24/ĐK-TCT, hủy HĐĐT tồn, nộp BCTC &amp; Quyết toán thuế giải thể</w:t>
            </w:r>
          </w:p>
        </w:tc>
        <w:tc>
          <w:tcPr>
            <w:tcW w:w="170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Đại lý thuế Veratax</w:t>
            </w:r>
          </w:p>
        </w:tc>
      </w:tr>
      <w:tr>
        <w:trPr>
          <w:cantSplit/>
        </w:trPr>
        <w:tc>
          <w:tcPr>
            <w:tcW w:w="950" w:type="dxa"/>
            <w:vAlign w:val="center"/>
            <w:tcMar>
              <w:top w:w="55" w:type="dxa"/>
              <w:bottom w:w="55" w:type="dxa"/>
              <w:left w:w="80" w:type="dxa"/>
              <w:right w:w="80" w:type="dxa"/>
            </w:tcMar>
          </w:tcPr>
          <w:p>
            <w:pPr>
              <w:spacing w:before="0" w:after="0" w:line="257" w:lineRule="auto"/>
              <w:jc w:val="center"/>
            </w:pPr>
            <w:r>
              <w:rPr>
                <w:rFonts w:ascii="Times New Roman" w:hAnsi="Times New Roman" w:cs="Times New Roman"/>
                <w:color w:val="000000"/>
                <w:sz w:val="22"/>
                <w:szCs w:val="22"/>
              </w:rPr>
              <w:t xml:space="preserve">Bước 3</w:t>
            </w:r>
          </w:p>
        </w:tc>
        <w:tc>
          <w:tcPr>
            <w:tcW w:w="230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Ngân hàng &amp; ĐKKD</w:t>
            </w:r>
          </w:p>
        </w:tc>
        <w:tc>
          <w:tcPr>
            <w:tcW w:w="4122"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Đóng tài khoản ngân hàng và nộp Thông báo giải thể tại Sở Tài chính</w:t>
            </w:r>
          </w:p>
        </w:tc>
        <w:tc>
          <w:tcPr>
            <w:tcW w:w="1700" w:type="dxa"/>
            <w:vAlign w:val="center"/>
            <w:tcMar>
              <w:top w:w="55" w:type="dxa"/>
              <w:bottom w:w="55" w:type="dxa"/>
              <w:left w:w="80" w:type="dxa"/>
              <w:right w:w="80" w:type="dxa"/>
            </w:tcMar>
          </w:tcPr>
          <w:p>
            <w:pPr>
              <w:spacing w:before="0" w:after="0" w:line="257" w:lineRule="auto"/>
              <w:jc w:val="left"/>
            </w:pPr>
            <w:r>
              <w:rPr>
                <w:rFonts w:ascii="Times New Roman" w:hAnsi="Times New Roman" w:cs="Times New Roman"/>
                <w:color w:val="000000"/>
                <w:sz w:val="22"/>
                <w:szCs w:val="22"/>
              </w:rPr>
              <w:t xml:space="preserve">Veratax / Doanh nghiệp</w:t>
            </w:r>
          </w:p>
        </w:tc>
      </w:tr>
    </w:tbl>
    <w:p>
      <w:pPr>
        <w:spacing w:before="0" w:after="30" w:line="257" w:lineRule="auto"/>
        <w:jc w:val="left"/>
      </w:pPr>
      <w:r>
        <w:rPr>
          <w:rFonts w:ascii="Times New Roman" w:hAnsi="Times New Roman" w:cs="Times New Roman"/>
          <w:color w:val="000000"/>
          <w:sz w:val="20"/>
          <w:szCs w:val="20"/>
        </w:rPr>
        <w:t xml:space="preserve"/>
      </w:r>
    </w:p>
    <w:p>
      <w:pPr>
        <w:keepNext/>
        <w:spacing w:before="80" w:after="40" w:line="257" w:lineRule="auto"/>
        <w:jc w:val="right"/>
      </w:pPr>
      <w:r>
        <w:rPr>
          <w:rFonts w:ascii="Times New Roman" w:hAnsi="Times New Roman" w:cs="Times New Roman"/>
          <w:i/>
          <w:iCs/>
          <w:color w:val="000000"/>
          <w:sz w:val="22"/>
          <w:szCs w:val="22"/>
        </w:rPr>
        <w:t xml:space="preserve">TP. Hồ Chí Minh, ngày ..... tháng ..... năm 20.....</w:t>
      </w:r>
    </w:p>
    <w:tbl>
      <w:tblPr>
        <w:tblW w:w="9072" w:type="dxa"/>
        <w:tblLayout w:type="fixed"/>
        <w:tblBorders>
          <w:top w:val="none"/>
          <w:left w:val="none"/>
          <w:bottom w:val="none"/>
          <w:right w:val="none"/>
          <w:insideH w:val="none"/>
          <w:insideV w:val="none"/>
        </w:tblBorders>
      </w:tblPr>
      <w:tblGrid>
        <w:gridCol w:w="4536"/>
        <w:gridCol w:w="4536"/>
      </w:tblGrid>
      <w:tr>
        <w:trPr>
          <w:cantSplit/>
        </w:trPr>
        <w:tc>
          <w:tcPr>
            <w:tcW w:w="4536" w:type="dxa"/>
          </w:tcPr>
          <w:p>
            <w:pPr>
              <w:spacing w:before="40" w:after="720" w:line="257" w:lineRule="auto"/>
              <w:jc w:val="center"/>
            </w:pPr>
            <w:r>
              <w:rPr>
                <w:rFonts w:ascii="Times New Roman" w:hAnsi="Times New Roman" w:cs="Times New Roman"/>
                <w:b/>
                <w:bCs/>
                <w:color w:val="000000"/>
                <w:sz w:val="22"/>
                <w:szCs w:val="22"/>
              </w:rPr>
              <w:t xml:space="preserve">ĐẠI DIỆN THEO PHÁP LUẬT</w:t>
            </w:r>
            <w:r>
              <w:rPr>
                <w:rFonts w:ascii="Times New Roman" w:hAnsi="Times New Roman" w:cs="Times New Roman"/>
                <w:color w:val="000000"/>
                <w:sz w:val="22"/>
                <w:szCs w:val="22"/>
              </w:rPr>
              <w:br/>
            </w:r>
            <w:r>
              <w:rPr>
                <w:rFonts w:ascii="Times New Roman" w:hAnsi="Times New Roman" w:cs="Times New Roman"/>
                <w:i/>
                <w:iCs/>
                <w:color w:val="000000"/>
                <w:sz w:val="20"/>
                <w:szCs w:val="20"/>
              </w:rPr>
              <w:t xml:space="preserve">(Ký và ghi rõ họ tên)</w:t>
            </w:r>
          </w:p>
        </w:tc>
        <w:tc>
          <w:tcPr>
            <w:tcW w:w="4536" w:type="dxa"/>
          </w:tcPr>
          <w:p>
            <w:pPr>
              <w:spacing w:before="40" w:after="720" w:line="257" w:lineRule="auto"/>
              <w:jc w:val="center"/>
            </w:pPr>
            <w:r>
              <w:rPr>
                <w:rFonts w:ascii="Times New Roman" w:hAnsi="Times New Roman" w:cs="Times New Roman"/>
                <w:b/>
                <w:bCs/>
                <w:color w:val="000000"/>
                <w:sz w:val="22"/>
                <w:szCs w:val="22"/>
              </w:rPr>
              <w:t xml:space="preserve">CHỦ SỞ HỮU / CHỦ TỊCH HĐTV</w:t>
            </w:r>
            <w:r>
              <w:rPr>
                <w:rFonts w:ascii="Times New Roman" w:hAnsi="Times New Roman" w:cs="Times New Roman"/>
                <w:color w:val="000000"/>
                <w:sz w:val="22"/>
                <w:szCs w:val="22"/>
              </w:rPr>
              <w:br/>
            </w:r>
            <w:r>
              <w:rPr>
                <w:rFonts w:ascii="Times New Roman" w:hAnsi="Times New Roman" w:cs="Times New Roman"/>
                <w:i/>
                <w:iCs/>
                <w:color w:val="000000"/>
                <w:sz w:val="20"/>
                <w:szCs w:val="20"/>
              </w:rPr>
              <w:t xml:space="preserve">(Ký, ghi rõ họ tên và đóng dấu)</w:t>
            </w:r>
          </w:p>
        </w:tc>
      </w:tr>
    </w:tbl>
    <w:tbl>
      <w:tblPr>
        <w:tblW w:w="9072" w:type="dxa"/>
        <w:tblLayout w:type="fixed"/>
        <w:tblBorders>
          <w:top w:val="single" w:sz="4" w:space="0" w:color="808080"/>
          <w:left w:val="single" w:sz="4" w:space="0" w:color="808080"/>
          <w:bottom w:val="single" w:sz="4" w:space="0" w:color="808080"/>
          <w:right w:val="single" w:sz="4" w:space="0" w:color="808080"/>
        </w:tblBorders>
      </w:tblPr>
      <w:tblGrid>
        <w:gridCol w:w="9072"/>
      </w:tblGrid>
      <w:tr>
        <w:tc>
          <w:tcPr>
            <w:tcW w:w="9072" w:type="dxa"/>
            <w:tcMar>
              <w:top w:w="50" w:type="dxa"/>
              <w:bottom w:w="50" w:type="dxa"/>
              <w:left w:w="80" w:type="dxa"/>
              <w:right w:w="80" w:type="dxa"/>
            </w:tcMar>
          </w:tcPr>
          <w:p>
            <w:pPr>
              <w:spacing w:before="0" w:after="0" w:line="240" w:lineRule="auto"/>
              <w:jc w:val="left"/>
            </w:pPr>
            <w:r>
              <w:rPr>
                <w:rFonts w:ascii="Times New Roman" w:hAnsi="Times New Roman" w:cs="Times New Roman"/>
                <w:i/>
                <w:iCs/>
                <w:color w:val="000000"/>
                <w:sz w:val="20"/>
                <w:szCs w:val="20"/>
              </w:rPr>
              <w:t xml:space="preserve">Thời hạn bắt buộc: Trong vòng 07 ngày làm việc kể từ ngày thông qua, Quyết định giải thể phải được gửi đến Cơ quan ĐKKD, Cơ quan thuế quản lý trực tiếp và người lao động.</w:t>
            </w:r>
          </w:p>
        </w:tc>
      </w:tr>
    </w:tbl>
    <w:sectPr>
      <w:headerReference w:type="default" r:id="rId3"/>
      <w:footerReference w:type="default" r:id="rId4"/>
      <w:pgSz w:w="11906" w:h="16838"/>
      <w:pgMar w:top="1134" w:right="1134" w:bottom="1134" w:left="1701" w:header="709" w:footer="709" w:gutter="0"/>
    </w:sectPr>
  </w:body>
</w:document>
</file>

<file path=word/footer1.xml><?xml version="1.0" encoding="utf-8"?>
<w:ftr xmlns:w="http://schemas.openxmlformats.org/wordprocessingml/2006/main">
  <w:p>
    <w:pPr>
      <w:jc w:val="center"/>
    </w:pP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PAGE </w:instrText>
    </w:r>
    <w:r>
      <w:rPr>
        <w:rFonts w:ascii="Times New Roman" w:hAnsi="Times New Roman" w:cs="Times New Roman"/>
        <w:color w:val="000000"/>
        <w:sz w:val="20"/>
        <w:szCs w:val="20"/>
      </w:rPr>
      <w:fldChar w:fldCharType="separate"/>
    </w:r>
    <w:r>
      <w:rPr>
        <w:rFonts w:ascii="Times New Roman" w:hAnsi="Times New Roman" w:cs="Times New Roman"/>
        <w:color w:val="000000"/>
        <w:sz w:val="20"/>
        <w:szCs w:val="20"/>
      </w:rPr>
      <w:t>1</w:t>
    </w:r>
    <w:r>
      <w:rPr>
        <w:rFonts w:ascii="Times New Roman" w:hAnsi="Times New Roman" w:cs="Times New Roman"/>
        <w:color w:val="000000"/>
        <w:sz w:val="20"/>
        <w:szCs w:val="20"/>
      </w:rPr>
      <w:fldChar w:fldCharType="end"/>
    </w:r>
  </w:p>
</w:ftr>
</file>

<file path=word/header1.xml><?xml version="1.0" encoding="utf-8"?>
<w:hdr xmlns:w="http://schemas.openxmlformats.org/wordprocessingml/2006/main">
  <w:p>
    <w:pPr>
      <w:jc w:val="right"/>
    </w:pPr>
    <w:r>
      <w:rPr>
        <w:rFonts w:ascii="Times New Roman" w:hAnsi="Times New Roman" w:cs="Times New Roman"/>
        <w:i/>
        <w:iCs/>
        <w:color w:val="000000"/>
        <w:sz w:val="20"/>
        <w:szCs w:val="20"/>
      </w:rPr>
      <w:t xml:space="preserve">Lưu hành nội bộ</w:t>
    </w:r>
  </w:p>
</w:hdr>
</file>

<file path=word/settings.xml><?xml version="1.0" encoding="utf-8"?>
<w:settings xmlns:w="http://schemas.openxmlformats.org/wordprocessingml/2006/main">
  <w:zoom w:percent="10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hAnsi="Times New Roman" w:cs="Times New Roman"/>
        <w:color w:val="000000"/>
        <w:sz w:val="22"/>
        <w:szCs w:val="22"/>
        <w:lang w:val="vi-VN" w:eastAsia="vi-VN" w:bidi="ar-SA"/>
      </w:rPr>
    </w:rPrDefault>
    <w:pPrDefault>
      <w:pPr>
        <w:spacing w:after="60" w:line="257" w:lineRule="auto"/>
      </w:pPr>
    </w:pPrDefault>
  </w:docDefaults>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header" Target="header1.xml"/>
  <Relationship Id="rId4" Type="http://schemas.openxmlformats.org/officeDocument/2006/relationships/footer" Target="footer1.xml"/>
</Relationships>
</file>